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49C5CC0B"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8B7CE8">
        <w:rPr>
          <w:rFonts w:ascii="Futura Lt BT" w:hAnsi="Futura Lt BT"/>
          <w:b/>
          <w:sz w:val="28"/>
          <w:szCs w:val="28"/>
        </w:rPr>
        <w:t>9</w:t>
      </w:r>
      <w:r w:rsidR="003E5D22">
        <w:rPr>
          <w:rFonts w:ascii="Futura Lt BT" w:hAnsi="Futura Lt BT"/>
          <w:b/>
          <w:sz w:val="28"/>
          <w:szCs w:val="28"/>
        </w:rPr>
        <w:t>.1</w:t>
      </w:r>
      <w:r w:rsidRPr="00B94096">
        <w:rPr>
          <w:rFonts w:ascii="Futura Lt BT" w:hAnsi="Futura Lt BT"/>
          <w:b/>
          <w:sz w:val="28"/>
          <w:szCs w:val="28"/>
        </w:rPr>
        <w:t xml:space="preserve"> IMPACT </w:t>
      </w:r>
      <w:r>
        <w:rPr>
          <w:rFonts w:ascii="Futura Lt BT" w:hAnsi="Futura Lt BT"/>
          <w:b/>
          <w:sz w:val="28"/>
          <w:szCs w:val="28"/>
        </w:rPr>
        <w:t>Futura</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44319145"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8B7CE8">
        <w:rPr>
          <w:rFonts w:ascii="Futura Lt BT" w:hAnsi="Futura Lt BT" w:cs="Arial"/>
          <w:b/>
          <w:color w:val="94C11A"/>
          <w:sz w:val="26"/>
          <w:szCs w:val="26"/>
        </w:rPr>
        <w:t>9</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Pr>
          <w:rFonts w:ascii="Futura Lt BT" w:hAnsi="Futura Lt BT" w:cs="Arial"/>
          <w:b/>
          <w:color w:val="94C11A"/>
          <w:sz w:val="26"/>
          <w:szCs w:val="26"/>
        </w:rPr>
        <w:t>Futura</w:t>
      </w:r>
    </w:p>
    <w:p w14:paraId="65931666" w14:textId="746B434C"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1E3B76">
        <w:rPr>
          <w:rFonts w:ascii="Futura Lt BT" w:hAnsi="Futura Lt BT"/>
        </w:rPr>
        <w:t>9</w:t>
      </w:r>
      <w:r>
        <w:rPr>
          <w:rFonts w:ascii="Futura Lt BT" w:hAnsi="Futura Lt BT"/>
        </w:rPr>
        <w:t xml:space="preserve"> mm </w:t>
      </w:r>
      <w:r w:rsidR="00F54D3D">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Mikroschichtstoffbeschichtung,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w:t>
      </w:r>
      <w:proofErr w:type="spellStart"/>
      <w:r w:rsidR="00526A7A">
        <w:rPr>
          <w:rFonts w:ascii="Futura Lt BT" w:hAnsi="Futura Lt BT"/>
        </w:rPr>
        <w:t>mK</w:t>
      </w:r>
      <w:proofErr w:type="spellEnd"/>
    </w:p>
    <w:p w14:paraId="56CF3C77" w14:textId="7777777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D34158">
        <w:rPr>
          <w:rFonts w:ascii="Futura Lt BT" w:hAnsi="Futura Lt BT"/>
        </w:rPr>
        <w:t>-s1, d0</w:t>
      </w:r>
      <w:r w:rsidRPr="00B94096">
        <w:rPr>
          <w:rFonts w:ascii="Futura Lt BT" w:hAnsi="Futura Lt BT"/>
        </w:rPr>
        <w:t xml:space="preserve"> nach EN 13501-1</w:t>
      </w:r>
    </w:p>
    <w:p w14:paraId="674F9345" w14:textId="6A5B8CE6"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B7CE8">
        <w:rPr>
          <w:rFonts w:ascii="Futura Lt BT" w:hAnsi="Futura Lt BT"/>
        </w:rPr>
        <w:t>9</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3C9EE4A6"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8B7CE8">
        <w:rPr>
          <w:rFonts w:ascii="Futura Lt BT" w:hAnsi="Futura Lt BT"/>
          <w:b/>
          <w:bCs/>
          <w:sz w:val="24"/>
        </w:rPr>
        <w:t>9</w:t>
      </w:r>
      <w:r w:rsidR="003E5D22">
        <w:rPr>
          <w:rFonts w:ascii="Futura Lt BT" w:hAnsi="Futura Lt BT"/>
          <w:b/>
          <w:bCs/>
          <w:sz w:val="24"/>
        </w:rPr>
        <w:t>.1</w:t>
      </w:r>
      <w:r w:rsidR="00F54D3D">
        <w:rPr>
          <w:rFonts w:ascii="Futura Lt BT" w:hAnsi="Futura Lt BT"/>
          <w:b/>
          <w:bCs/>
          <w:sz w:val="24"/>
        </w:rPr>
        <w:t xml:space="preserve"> Futura</w:t>
      </w:r>
    </w:p>
    <w:p w14:paraId="6AEBC2A7" w14:textId="77777777" w:rsidR="009319D0" w:rsidRPr="00D3415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D34158">
        <w:rPr>
          <w:rFonts w:ascii="Futura Lt BT" w:hAnsi="Futura Lt BT"/>
          <w:sz w:val="22"/>
          <w:lang w:val="en-US"/>
        </w:rPr>
        <w:t xml:space="preserve">18 // 94431 </w:t>
      </w:r>
      <w:proofErr w:type="spellStart"/>
      <w:r w:rsidRPr="00D34158">
        <w:rPr>
          <w:rFonts w:ascii="Futura Lt BT" w:hAnsi="Futura Lt BT"/>
          <w:sz w:val="22"/>
          <w:lang w:val="en-US"/>
        </w:rPr>
        <w:t>Pilsting</w:t>
      </w:r>
      <w:proofErr w:type="spellEnd"/>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1482CDBA" w:rsidR="00886B70" w:rsidRPr="0001310F" w:rsidRDefault="00F54D3D" w:rsidP="0001310F">
      <w:pPr>
        <w:pStyle w:val="Listenabsatz"/>
        <w:numPr>
          <w:ilvl w:val="0"/>
          <w:numId w:val="7"/>
        </w:numPr>
        <w:spacing w:before="120" w:after="120"/>
        <w:jc w:val="both"/>
        <w:rPr>
          <w:rFonts w:ascii="Futura Lt BT" w:hAnsi="Futura Lt BT"/>
          <w:b/>
        </w:rPr>
      </w:pPr>
      <w:r>
        <w:rPr>
          <w:rFonts w:ascii="Futura Lt BT" w:hAnsi="Futura Lt BT"/>
          <w:b/>
        </w:rPr>
        <w:t>Impactp</w:t>
      </w:r>
      <w:r w:rsidR="009319D0" w:rsidRPr="00192CC8">
        <w:rPr>
          <w:rFonts w:ascii="Futura Lt BT" w:hAnsi="Futura Lt BT"/>
          <w:b/>
        </w:rPr>
        <w:t>latte mit Mikroschichtstoff</w:t>
      </w:r>
    </w:p>
    <w:p w14:paraId="65DE675F" w14:textId="77777777"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A2, s1-d0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6E259FC0"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8B7CE8">
        <w:rPr>
          <w:rFonts w:ascii="Futura Lt BT" w:hAnsi="Futura Lt BT"/>
        </w:rPr>
        <w:t xml:space="preserve">9 </w:t>
      </w:r>
      <w:r w:rsidRPr="00B61072">
        <w:rPr>
          <w:rFonts w:ascii="Futura Lt BT" w:hAnsi="Futura Lt BT"/>
        </w:rPr>
        <w:t>mm</w:t>
      </w:r>
    </w:p>
    <w:p w14:paraId="5BE99D8A" w14:textId="77777777"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0"/>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264F41CC"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r w:rsidR="00C614F9" w:rsidRPr="007E6C20">
        <w:rPr>
          <w:rFonts w:ascii="Futura Lt BT" w:hAnsi="Futura Lt BT"/>
        </w:rPr>
        <w:t>Aluminiumprofil</w:t>
      </w:r>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 xml:space="preserve">mittels einer </w:t>
      </w:r>
      <w:proofErr w:type="spellStart"/>
      <w:r w:rsidR="00F46111">
        <w:rPr>
          <w:rFonts w:ascii="Futura Lt BT" w:hAnsi="Futura Lt BT"/>
        </w:rPr>
        <w:t>Falzfräsung</w:t>
      </w:r>
      <w:proofErr w:type="spellEnd"/>
      <w:r w:rsidR="00F46111">
        <w:rPr>
          <w:rFonts w:ascii="Futura Lt BT" w:hAnsi="Futura Lt BT"/>
        </w:rPr>
        <w:t xml:space="preserve">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730BB468"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2F5EA1">
      <w:rPr>
        <w:rFonts w:ascii="Futura Lt BT" w:hAnsi="Futura Lt BT"/>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6B31"/>
    <w:rsid w:val="001D2B8F"/>
    <w:rsid w:val="001E3B76"/>
    <w:rsid w:val="00215D4E"/>
    <w:rsid w:val="002240A7"/>
    <w:rsid w:val="00263C05"/>
    <w:rsid w:val="002F5EA1"/>
    <w:rsid w:val="00344C5A"/>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B110B8"/>
    <w:rsid w:val="00B515EC"/>
    <w:rsid w:val="00B8351B"/>
    <w:rsid w:val="00C442D0"/>
    <w:rsid w:val="00C614F9"/>
    <w:rsid w:val="00CC7B7D"/>
    <w:rsid w:val="00CD2E8C"/>
    <w:rsid w:val="00CD4747"/>
    <w:rsid w:val="00D11ADD"/>
    <w:rsid w:val="00D34158"/>
    <w:rsid w:val="00D51330"/>
    <w:rsid w:val="00DB23B8"/>
    <w:rsid w:val="00DB3A32"/>
    <w:rsid w:val="00DD6CD5"/>
    <w:rsid w:val="00DF0DB1"/>
    <w:rsid w:val="00E746FD"/>
    <w:rsid w:val="00EB05A4"/>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33</cp:revision>
  <cp:lastPrinted>2019-03-27T12:05:00Z</cp:lastPrinted>
  <dcterms:created xsi:type="dcterms:W3CDTF">2019-03-27T15:15:00Z</dcterms:created>
  <dcterms:modified xsi:type="dcterms:W3CDTF">2023-04-17T12:41:00Z</dcterms:modified>
</cp:coreProperties>
</file>